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1"/>
        <w:pageBreakBefore w:val="false"/>
        <w:widowControl w:val="false"/>
        <w:jc w:val="center"/>
        <w:rPr>
          <w:rFonts w:ascii="Calibri" w:hAnsi="Calibri" w:eastAsia="Calibri" w:cs="Calibri"/>
        </w:rPr>
      </w:pPr>
      <w:r>
        <w:rPr>
          <w:rFonts w:eastAsia="Calibri" w:cs="Calibri" w:ascii="Calibri" w:hAnsi="Calibri"/>
        </w:rPr>
        <w:t>ANEXO I</w:t>
      </w:r>
    </w:p>
    <w:p>
      <w:pPr>
        <w:pStyle w:val="Normal11"/>
        <w:widowControl w:val="false"/>
        <w:jc w:val="center"/>
        <w:rPr>
          <w:rFonts w:ascii="Calibri" w:hAnsi="Calibri" w:eastAsia="Calibri" w:cs="Calibri"/>
        </w:rPr>
      </w:pPr>
      <w:r>
        <w:rPr>
          <w:rFonts w:eastAsia="Calibri" w:cs="Calibri" w:ascii="Calibri" w:hAnsi="Calibri"/>
        </w:rPr>
      </w:r>
    </w:p>
    <w:p>
      <w:pPr>
        <w:pStyle w:val="Normal11"/>
        <w:widowControl w:val="false"/>
        <w:jc w:val="center"/>
        <w:rPr>
          <w:rFonts w:ascii="Calibri" w:hAnsi="Calibri" w:eastAsia="Calibri" w:cs="Calibri"/>
          <w:highlight w:val="yellow"/>
        </w:rPr>
      </w:pPr>
      <w:r>
        <w:rPr>
          <w:rFonts w:eastAsia="Calibri" w:cs="Calibri" w:ascii="Calibri" w:hAnsi="Calibri"/>
        </w:rPr>
        <w:t>BASE LEGAL E NORMATIVA</w:t>
      </w:r>
    </w:p>
    <w:p>
      <w:pPr>
        <w:pStyle w:val="Normal11"/>
        <w:keepNext w:val="false"/>
        <w:keepLines w:val="false"/>
        <w:pageBreakBefore w:val="false"/>
        <w:widowControl w:val="false"/>
        <w:shd w:val="clear" w:fill="auto"/>
        <w:spacing w:lineRule="auto" w:line="240" w:before="0" w:after="0"/>
        <w:ind w:left="0" w:right="0" w:hanging="0"/>
        <w:jc w:val="center"/>
        <w:rPr>
          <w:rFonts w:ascii="Calibri" w:hAnsi="Calibri" w:eastAsia="Calibri" w:cs="Calibri"/>
          <w:highlight w:val="yellow"/>
        </w:rPr>
      </w:pPr>
      <w:r>
        <w:rPr>
          <w:rFonts w:eastAsia="Calibri" w:cs="Calibri" w:ascii="Calibri" w:hAnsi="Calibri"/>
          <w:highlight w:val="yellow"/>
        </w:rPr>
      </w:r>
    </w:p>
    <w:p>
      <w:pPr>
        <w:pStyle w:val="Normal11"/>
        <w:jc w:val="both"/>
        <w:rPr>
          <w:rFonts w:ascii="Calibri" w:hAnsi="Calibri" w:eastAsia="Calibri" w:cs="Calibri"/>
          <w:color w:val="FF0000"/>
        </w:rPr>
      </w:pPr>
      <w:r>
        <w:rPr>
          <w:rFonts w:eastAsia="Calibri" w:cs="Calibri" w:ascii="Calibri" w:hAnsi="Calibri"/>
        </w:rPr>
        <w:t xml:space="preserve">I. Constituição da República Federativa do Brasil, que estabelece os fundamentos da dignidade da pessoa humana e do valor social do trabalho, a proibição de todas as formas de assédio e de discriminação, bem como o direito à honra, à segurança, à saúde e ao trabalho, conforme previsto no art. 1º, incisos III e IV; art. 3º, inciso IV; art. 5º, inciso X; art. 6º, caput; art. 7º, inciso XXII; art. 39, § 3º; e art. 170, caput;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color w:val="FF0000"/>
        </w:rPr>
      </w:pPr>
      <w:r>
        <w:rPr>
          <w:rFonts w:eastAsia="Calibri" w:cs="Calibri" w:ascii="Calibri" w:hAnsi="Calibri"/>
        </w:rPr>
        <w:t xml:space="preserve">II. Convenção nº 190 da Organização Internacional do Trabalho (OIT), que reconhece o direito a um mundo do trabalho livre de violência e assédio;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III. Convenção nº 111 da Organização Internacional do Trabalho (OIT), que trata da discriminação em matéria de emprego e profissão;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color w:val="FF0000"/>
        </w:rPr>
      </w:pPr>
      <w:r>
        <w:rPr>
          <w:rFonts w:eastAsia="Calibri" w:cs="Calibri" w:ascii="Calibri" w:hAnsi="Calibri"/>
        </w:rPr>
        <w:t xml:space="preserve">IV. Lei nº 14.540, de 3 de abril de 2023, que institui o Programa de Prevenção e Enfrentamento ao Assédio Sexual e demais Crimes contra a Dignidade Sexual e a Violência Sexual no âmbito da administração pública direta e indireta, federal, estadual, distrital e municipal;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V. Lei nº 13.608, de 10 de janeiro de 2018, que dispõe sobre o serviço telefônico de recebimento de denúncias e sobre recompensa por informações que auxiliem nas investigações policiais; e altera o art. 4º da Lei nº 10.201, de 14 de fevereiro de 2001, para prover recursos do Fundo Nacional de Segurança Pública para esses fins;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VI. Lei nº 13.431, de 4 de abril de 2017, que estabelece o sistema de garantia de direitos da criança e do adolescente vítima ou testemunha de violência;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VII. Lei nº 13.185, de 6 de novembro de 2015, que institui o Programa de Combate à Intimidação Sistemática (Bullying);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VIII. Lei nº 13.146, de 6 de julho de 2015, que institui a Lei Brasileira de Inclusão da Pessoa com Deficiência (Estatuto da Pessoa com Deficiência);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IX. Lei nº 12.852, de 5 de agosto de 2013, que institui o Estatuto da Juventude e dispõe sobre os direitos dos jovens, os princípios e diretrizes das políticas públicas de juventude e o Sistema Nacional de Juventude – SINAJUVE;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 Lei nº 12.288, de 20 de julho de 2010, que institui o Estatuto da Igualdade Racial;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XI. Lei nº 9.394, de 20 de dezembro de 1996, que estabelece as diretrizes e bases da educação nacional, incluindo seus princípios e fins;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XII. Lei nº 8.429, de 2 de junho de 1992, substancialmente alterada pela Lei nº 14.230, de 25 de outubro de 2021, que dispõe sobre as sanções aplicáveis em virtude da prática de atos de improbidade administrativa, de que trata o § 4º do art. 37 da Constituição Federal;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XIII. Lei nº 8.112, de 11 de dezembro de 1990, que dispõe sobre o regime jurídico dos servidores públicos civis da União, das autarquias e das fundações públicas federais;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XIV. Lei nº 8.069, de 13 de julho de 1990 (Estatuto da Criança e do Adolescente), que dispõe sobre os direitos fundamentais de crianças e adolescentes, bem como as medidas de proteção e responsabilização aplicáveis;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XV. Lei nº 7.716, de 5 de janeiro de 1989, que define os crimes resultantes de preconceito de raça ou de cor;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color w:val="FF0000"/>
        </w:rPr>
      </w:pPr>
      <w:r>
        <w:rPr>
          <w:rFonts w:eastAsia="Calibri" w:cs="Calibri" w:ascii="Calibri" w:hAnsi="Calibri"/>
        </w:rPr>
        <w:t xml:space="preserve">XVI. Decreto nº 12.122, de 30 de julho de 2024, que institui o Programa Federal de Prevenção e Enfrentamento do Assédio e da Discriminação no âmbito da administração pública federal direta, autárquica e fundacional; (Política IFSertãoPE); </w:t>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t xml:space="preserve">XVII. Decreto nº 10.046, de 09 de outubro de 2019, que dispõe sobre a governança no compartilhamento de dados no âmbito da administração pública federal e institui o Cadastro Base do Cidadão e o Comitê Central de Governança de Dados; </w:t>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t xml:space="preserve">XVIII. Decreto nº 9.492, de 5 de setembro de 2018, a qual regulamenta a Lei nº 13.460, de 26 de junho de 2017, que dispõe sobre participação, proteção e defesa dos direitos do usuário dos serviços públicos da administração pública federal e institui o Sistema de Ouvidoria do Poder Executivo federal; </w:t>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XIX. Decreto nº 4.377, de 13 de setembro de 2002, que promulga a Convenção sobre a Eliminação de Todas as Formas de Discriminação contra a Mulher;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 Decreto nº 1.973, de 1º de agosto de 1996, que promulga a Convenção Interamericana para Prevenir, Punir e Erradicar a Violência contra a Mulher;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XXI. Decreto nº 1.171, de 22 de junho de 1994, que aprova o Código de Ética Profissional do Servidor Público Civil do Poder Executivo Federal;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XXII. Decreto nº 99.710, de 21 de novembro de 1990, que promulga a Convenção sobre os Direitos da Criança;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XXIII. Decreto nº 65.810, de 8 de dezembro de 1969, que promulga a Convenção Internacional sôbre a Eliminação de tôdas as Formas de Discriminação Racial;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XXIV. Decreto-Lei nº 2.848, de 7 de dezembro de 1940 (Código Penal), que define, dentre outros, os crimes contra a vida e as lesões corporais, os crimes contra a honra, os crimes contra a liberdade individual, os crimes contra a liberdade sexual e os crimes contra o vulnerável;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color w:val="FF0000"/>
        </w:rPr>
      </w:pPr>
      <w:r>
        <w:rPr>
          <w:rFonts w:eastAsia="Calibri" w:cs="Calibri" w:ascii="Calibri" w:hAnsi="Calibri"/>
        </w:rPr>
        <w:t xml:space="preserve">XXV. Portaria MGI nº 6.719, de 13 de setembro de 2024, que institui o PFPEAD Direta, suas Autarquias e Fundações. </w:t>
      </w:r>
    </w:p>
    <w:p>
      <w:pPr>
        <w:pStyle w:val="Normal11"/>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t xml:space="preserve">XXVI. Portaria Normativa CGU nº 116, de 18 de março de 2024, que estabelece orientações para o exercício das competências das unidades do Sistema de Ouvidoria do Poder Executivo Federal, instituído pelo Decreto nº 9.492, de 5 de setembro de 2018, no âmbito do Poder Executivo federal; </w:t>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r>
    </w:p>
    <w:p>
      <w:pPr>
        <w:pStyle w:val="Normal11"/>
        <w:keepNext w:val="false"/>
        <w:keepLines w:val="false"/>
        <w:pageBreakBefore w:val="false"/>
        <w:widowControl/>
        <w:shd w:val="clear" w:fill="auto"/>
        <w:spacing w:lineRule="auto" w:line="240" w:before="0" w:after="0"/>
        <w:ind w:left="0" w:right="0" w:hanging="0"/>
        <w:jc w:val="both"/>
        <w:rPr>
          <w:rFonts w:ascii="Calibri" w:hAnsi="Calibri" w:eastAsia="Calibri" w:cs="Calibri"/>
        </w:rPr>
      </w:pPr>
      <w:r>
        <w:rPr>
          <w:rFonts w:eastAsia="Calibri" w:cs="Calibri" w:ascii="Calibri" w:hAnsi="Calibri"/>
        </w:rPr>
        <w:t xml:space="preserve">XXVII. Portaria Normativa CGU nº 27, de 11 de outubro de 2022, que dispõe sobre o Sistema de Correição do Poder Executivo Federal de que trata o Decreto nº 5.480, de 30 de junho de 2005, e sobre a atividade correcional nos órgãos e entidades do Poder Executivo Federal;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color w:val="FF0000"/>
        </w:rPr>
      </w:pPr>
      <w:r>
        <w:rPr>
          <w:rFonts w:eastAsia="Calibri" w:cs="Calibri" w:ascii="Calibri" w:hAnsi="Calibri"/>
        </w:rPr>
        <w:t xml:space="preserve">XXVIII. Guia Lilás da Controladoria-Geral da União (CGU), 2ª edição, aprovado pela Portaria Normativa CGU nº 58, de 07 de março de 2023, que estabelece orientações para prevenção e tratamento ao assédio moral e sexual e à discriminação no Governo Federal;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color w:val="FF0000"/>
        </w:rPr>
      </w:pPr>
      <w:r>
        <w:rPr>
          <w:rFonts w:eastAsia="Calibri" w:cs="Calibri" w:ascii="Calibri" w:hAnsi="Calibri"/>
        </w:rPr>
        <w:t xml:space="preserve">XXIX. Parecer nº 0015/2023/CONSUNIAO/CGU/AGU, que aborda a punição para o assédio sexual e demais condutas que violam a dignidade sexual, de caráter vinculante para toda a Administração Pública, adotado pelo Parecer nº JM-03, de 4 de setembro de 2023, do Advogado-Geral da União, nos termos estabelecidos no Despacho do Consultor-Geral da União nº 00595/2023/GAB/CGU/AGU e aprovado por Despacho do Presidente da República.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XXX. Nota Técnica nº 3285/2023/CGUNE/DICOR/CGR, que trata do enquadramento disciplinar das condutas de cunho sexual.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XXXI. Decisão do Supremo Tribunal Federal - STF no âmbito da Ação Direta de Inconstitucionalidade por Omissão (ADO) 26, que equipara a homofobia ao crime de racismo;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XXXII. Acórdão nº 456/2022 – Tribunal de Contas da União (TCU), que estabeleceu o modelo de avaliação do sistema de prevenção e combate ao assédio moral e sexual;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XXXIII. Resolução nº 61 do Conselho Superior do IFSertãoPE, de 1ª de dezembro de 2022, que aprova a atualização do Regimento Interno da Reitoria do IFSertãoPE; </w:t>
      </w:r>
    </w:p>
    <w:p>
      <w:pPr>
        <w:pStyle w:val="Normal11"/>
        <w:jc w:val="both"/>
        <w:rPr>
          <w:rFonts w:ascii="Calibri" w:hAnsi="Calibri" w:eastAsia="Calibri" w:cs="Calibri"/>
        </w:rPr>
      </w:pPr>
      <w:r>
        <w:rPr>
          <w:rFonts w:eastAsia="Calibri" w:cs="Calibri" w:ascii="Calibri" w:hAnsi="Calibri"/>
        </w:rPr>
      </w:r>
    </w:p>
    <w:p>
      <w:pPr>
        <w:pStyle w:val="Normal11"/>
        <w:jc w:val="both"/>
        <w:rPr>
          <w:rFonts w:ascii="Calibri" w:hAnsi="Calibri" w:eastAsia="Calibri" w:cs="Calibri"/>
        </w:rPr>
      </w:pPr>
      <w:r>
        <w:rPr>
          <w:rFonts w:eastAsia="Calibri" w:cs="Calibri" w:ascii="Calibri" w:hAnsi="Calibri"/>
        </w:rPr>
        <w:t xml:space="preserve">XXXIV. Resolução nº 60 do Conselho Superior do IFSertãoPE, de 1º de dezembro de 2022, que aprova a atualização do Regimento Geral do IFSertãoPE; </w:t>
      </w:r>
    </w:p>
    <w:sectPr>
      <w:headerReference w:type="even" r:id="rId2"/>
      <w:headerReference w:type="default" r:id="rId3"/>
      <w:headerReference w:type="first" r:id="rId4"/>
      <w:type w:val="nextPage"/>
      <w:pgSz w:w="11906" w:h="16838"/>
      <w:pgMar w:left="1134" w:right="1134" w:gutter="0" w:header="1134" w:top="3631"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5">
          <wp:simplePos x="0" y="0"/>
          <wp:positionH relativeFrom="page">
            <wp:posOffset>3491865</wp:posOffset>
          </wp:positionH>
          <wp:positionV relativeFrom="page">
            <wp:posOffset>597535</wp:posOffset>
          </wp:positionV>
          <wp:extent cx="666750" cy="654050"/>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shd w:val="clear" w:fill="auto"/>
      <w:tabs>
        <w:tab w:val="clear" w:pos="720"/>
        <w:tab w:val="left" w:pos="4593" w:leader="none"/>
      </w:tabs>
      <w:suppressAutoHyphens w:val="true"/>
      <w:bidi w:val="0"/>
      <w:spacing w:lineRule="auto" w:line="240" w:before="90" w:after="0"/>
      <w:ind w:left="170" w:right="567"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0" allowOverlap="1" relativeHeight="5">
          <wp:simplePos x="0" y="0"/>
          <wp:positionH relativeFrom="page">
            <wp:posOffset>3491865</wp:posOffset>
          </wp:positionH>
          <wp:positionV relativeFrom="page">
            <wp:posOffset>597535</wp:posOffset>
          </wp:positionV>
          <wp:extent cx="666750" cy="654050"/>
          <wp:effectExtent l="0" t="0" r="0" b="0"/>
          <wp:wrapNone/>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666750" cy="654050"/>
                  </a:xfrm>
                  <a:prstGeom prst="rect">
                    <a:avLst/>
                  </a:prstGeom>
                </pic:spPr>
              </pic:pic>
            </a:graphicData>
          </a:graphic>
        </wp:anchor>
      </w:drawing>
    </w:r>
  </w:p>
  <w:p>
    <w:pPr>
      <w:pStyle w:val="Normal1"/>
      <w:keepNext w:val="false"/>
      <w:keepLines w:val="false"/>
      <w:pageBreakBefore w:val="false"/>
      <w:widowControl/>
      <w:shd w:val="clear" w:fill="auto"/>
      <w:spacing w:lineRule="auto" w:line="240" w:before="90"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shd w:val="clear" w:fill="auto"/>
      <w:spacing w:lineRule="auto" w:line="240" w:before="0" w:after="0"/>
      <w:ind w:left="0" w:right="0" w:hanging="0"/>
      <w:jc w:val="center"/>
      <w:rPr>
        <w:rFonts w:eastAsia="Calibri" w:cs="Calibri"/>
        <w:b w:val="false"/>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MINISTÉRIO DA EDUCAÇÃO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SECRETARIA DE EDUCAÇÃO PROFISSIONAL E TECNOLÓGICA</w:t>
    </w:r>
  </w:p>
  <w:p>
    <w:pPr>
      <w:pStyle w:val="Normal1"/>
      <w:keepNext w:val="false"/>
      <w:keepLines w:val="false"/>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INSTITUTO FEDERAL DE EDUCAÇÃO, CIÊNCIA E TECNOLOGIA DO SERTÃO PERNAMBUCANO</w:t>
    </w:r>
  </w:p>
  <w:p>
    <w:pPr>
      <w:pStyle w:val="Normal1"/>
      <w:widowControl/>
      <w:shd w:val="clear" w:fill="auto"/>
      <w:spacing w:lineRule="auto" w:line="240" w:before="0" w:after="0"/>
      <w:ind w:left="0" w:right="0" w:hanging="0"/>
      <w:jc w:val="center"/>
      <w:rPr>
        <w:rFonts w:ascii="Calibri" w:hAnsi="Calibri"/>
      </w:rPr>
    </w:pPr>
    <w:r>
      <w:rPr>
        <w:rFonts w:eastAsia="Calibri" w:cs="Calibri" w:ascii="Calibri" w:hAnsi="Calibri"/>
        <w:b w:val="false"/>
        <w:i w:val="false"/>
        <w:caps w:val="false"/>
        <w:smallCaps w:val="false"/>
        <w:strike w:val="false"/>
        <w:dstrike w:val="false"/>
        <w:color w:val="000000"/>
        <w:position w:val="0"/>
        <w:sz w:val="24"/>
        <w:sz w:val="24"/>
        <w:szCs w:val="24"/>
        <w:u w:val="none"/>
        <w:shd w:fill="auto" w:val="clear"/>
        <w:vertAlign w:val="baseline"/>
        <w:lang w:val="pt-BR" w:eastAsia="zh-CN" w:bidi="hi-IN"/>
      </w:rPr>
      <w:t>REITORIA</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Normal11"/>
    <w:next w:val="Normal11"/>
    <w:qFormat/>
    <w:pPr>
      <w:keepNext w:val="true"/>
      <w:keepLines/>
      <w:pageBreakBefore w:val="false"/>
      <w:spacing w:lineRule="auto" w:line="240" w:before="480" w:after="120"/>
    </w:pPr>
    <w:rPr>
      <w:b/>
      <w:sz w:val="48"/>
      <w:szCs w:val="48"/>
    </w:rPr>
  </w:style>
  <w:style w:type="paragraph" w:styleId="Ttulo2">
    <w:name w:val="Heading 2"/>
    <w:basedOn w:val="Normal11"/>
    <w:next w:val="Normal11"/>
    <w:qFormat/>
    <w:pPr>
      <w:keepNext w:val="true"/>
      <w:keepLines/>
      <w:pageBreakBefore w:val="false"/>
      <w:spacing w:lineRule="auto" w:line="240" w:before="360" w:after="80"/>
    </w:pPr>
    <w:rPr>
      <w:b/>
      <w:sz w:val="36"/>
      <w:szCs w:val="36"/>
    </w:rPr>
  </w:style>
  <w:style w:type="paragraph" w:styleId="Ttulo3">
    <w:name w:val="Heading 3"/>
    <w:basedOn w:val="Normal11"/>
    <w:next w:val="Normal11"/>
    <w:qFormat/>
    <w:pPr>
      <w:keepNext w:val="true"/>
      <w:keepLines/>
      <w:pageBreakBefore w:val="false"/>
      <w:spacing w:lineRule="auto" w:line="240" w:before="280" w:after="80"/>
    </w:pPr>
    <w:rPr>
      <w:b/>
      <w:sz w:val="28"/>
      <w:szCs w:val="28"/>
    </w:rPr>
  </w:style>
  <w:style w:type="paragraph" w:styleId="Ttulo4">
    <w:name w:val="Heading 4"/>
    <w:basedOn w:val="Normal11"/>
    <w:next w:val="Normal11"/>
    <w:qFormat/>
    <w:pPr>
      <w:keepNext w:val="true"/>
      <w:keepLines/>
      <w:pageBreakBefore w:val="false"/>
      <w:spacing w:lineRule="auto" w:line="240" w:before="240" w:after="40"/>
    </w:pPr>
    <w:rPr>
      <w:b/>
      <w:sz w:val="24"/>
      <w:szCs w:val="24"/>
    </w:rPr>
  </w:style>
  <w:style w:type="paragraph" w:styleId="Ttulo5">
    <w:name w:val="Heading 5"/>
    <w:basedOn w:val="Normal11"/>
    <w:next w:val="Normal11"/>
    <w:qFormat/>
    <w:pPr>
      <w:keepNext w:val="true"/>
      <w:keepLines/>
      <w:pageBreakBefore w:val="false"/>
      <w:spacing w:lineRule="auto" w:line="240" w:before="220" w:after="40"/>
    </w:pPr>
    <w:rPr>
      <w:b/>
      <w:sz w:val="22"/>
      <w:szCs w:val="22"/>
    </w:rPr>
  </w:style>
  <w:style w:type="paragraph" w:styleId="Ttulo6">
    <w:name w:val="Heading 6"/>
    <w:basedOn w:val="Normal11"/>
    <w:next w:val="Normal11"/>
    <w:qFormat/>
    <w:pPr>
      <w:keepNext w:val="true"/>
      <w:keepLines/>
      <w:pageBreakBefore w:val="false"/>
      <w:spacing w:lineRule="auto" w:line="240" w:before="200" w:after="40"/>
    </w:pPr>
    <w:rPr>
      <w:b/>
      <w:sz w:val="20"/>
      <w:szCs w:val="20"/>
    </w:rPr>
  </w:style>
  <w:style w:type="character" w:styleId="LinkdaInternet">
    <w:name w:val="Link da Internet"/>
    <w:qFormat/>
    <w:rPr>
      <w:color w:val="000080"/>
      <w:u w:val="single"/>
    </w:rPr>
  </w:style>
  <w:style w:type="character" w:styleId="LineNumbering">
    <w:name w:val="Line Numbering"/>
    <w:qFormat/>
    <w:rPr/>
  </w:style>
  <w:style w:type="character" w:styleId="Strong">
    <w:name w:val="Strong"/>
    <w:qFormat/>
    <w:rPr>
      <w:b/>
      <w:bCs/>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paragraph" w:styleId="Ttulo">
    <w:name w:val="Título"/>
    <w:basedOn w:val="Normal1"/>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1"/>
    <w:pPr>
      <w:spacing w:lineRule="auto" w:line="276" w:before="0" w:after="140"/>
    </w:pPr>
    <w:rPr/>
  </w:style>
  <w:style w:type="paragraph" w:styleId="Lista">
    <w:name w:val="List"/>
    <w:basedOn w:val="Corpodotexto"/>
    <w:pPr/>
    <w:rPr>
      <w:rFonts w:cs="Lucida Sans"/>
    </w:rPr>
  </w:style>
  <w:style w:type="paragraph" w:styleId="Legenda">
    <w:name w:val="Caption"/>
    <w:basedOn w:val="Normal1"/>
    <w:qFormat/>
    <w:pPr>
      <w:suppressLineNumbers/>
      <w:spacing w:before="120" w:after="120"/>
    </w:pPr>
    <w:rPr>
      <w:rFonts w:cs="Lucida Sans"/>
      <w:i/>
      <w:iCs/>
      <w:sz w:val="24"/>
      <w:szCs w:val="24"/>
    </w:rPr>
  </w:style>
  <w:style w:type="paragraph" w:styleId="Ndice">
    <w:name w:val="Índice"/>
    <w:basedOn w:val="Normal1"/>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Normal11"/>
    <w:next w:val="Normal11"/>
    <w:qFormat/>
    <w:pPr>
      <w:keepNext w:val="true"/>
      <w:keepLines/>
      <w:pageBreakBefore w:val="false"/>
      <w:spacing w:lineRule="auto" w:line="240" w:before="480" w:after="120"/>
    </w:pPr>
    <w:rPr>
      <w:b/>
      <w:sz w:val="72"/>
      <w:szCs w:val="72"/>
    </w:rPr>
  </w:style>
  <w:style w:type="paragraph" w:styleId="Normal11" w:default="1">
    <w:name w:val="normal1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dodatabela">
    <w:name w:val="Conteúdo da tabela"/>
    <w:basedOn w:val="Normal1"/>
    <w:qFormat/>
    <w:pPr>
      <w:widowControl w:val="false"/>
      <w:suppressLineNumbers/>
    </w:pPr>
    <w:rPr/>
  </w:style>
  <w:style w:type="paragraph" w:styleId="Cabealhoerodap">
    <w:name w:val="Cabeçalho e rodapé"/>
    <w:basedOn w:val="Normal"/>
    <w:qFormat/>
    <w:pPr>
      <w:suppressLineNumbers/>
      <w:tabs>
        <w:tab w:val="clear" w:pos="720"/>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
    <w:basedOn w:val="Normal"/>
    <w:qFormat/>
    <w:pPr/>
    <w:rPr/>
  </w:style>
  <w:style w:type="paragraph" w:styleId="Cabealho">
    <w:name w:val="Header"/>
    <w:basedOn w:val="Cabealhoerodap"/>
    <w:pPr>
      <w:suppressLineNumbers/>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f5igM2rCI4vn3vROSVvsDKjjTQ==">CgMxLjAiuwIKC0FBQUJucGdMd1pVEoUCCgtBQUFCbnBnTHdaVRILQUFBQm5wZ0x3WlUaDQoJdGV4dC9odG1sEgAiDgoKdGV4dC9wbGFpbhIAKhsiFTEwMTA2NDE4OTg2OTYzMDc2NjIzMCgAOAAwi4nJ0oczOOeQydKHM0plCiRhcHBsaWNhdGlvbi92bmQuZ29vZ2xlLWFwcHMuZG9jcy5tZHMaPcLX2uQBNxI1CjEKK3MgY29tIGRlZGljYcOnw6NvIGV4Y2x1c2l2YSBkZSBtw6NvIGRlIG9icmEQARgAEAFaDHdwZzNmYm5yYXhsd3ICIAB4AIIBFHN1Z2dlc3QuNWptYXAzZmhzaGFqmgEGCAAQABgAsAEAuAEAGIuJydKHMyDnkMnShzMwAEIUc3VnZ2VzdC41am1hcDNmaHNoYWoi1AEKC0FBQUJvZUJBWElrEp4BCgtBQUFCb2VCQVhJaxILQUFBQm9lQkFYSWsaDQoJdGV4dC9odG1sEgAiDgoKdGV4dC9wbGFpbhIAKhsiFTEwMTA2NDE4OTg2OTYzMDc2NjIzMCgAOAAwuLqA5YUzOLi6gOWFM1oMazI3ejhnOGt6Y3FxcgIgAHgAggEUc3VnZ2VzdC52ZjVxcjB3b3VqeTOaAQYIABAAGACwAQC4AQAYuLqA5YUzILi6gOWFMzAAQhRzdWdnZXN0LnZmNXFyMHdvdWp5MyLUAQoLQUFBQm9oWWZOYlkSngEKC0FBQUJvaFlmTmJZEgtBQUFCb2hZZk5iWRoNCgl0ZXh0L2h0bWwSACIOCgp0ZXh0L3BsYWluEgAqGyIVMTAxMDY0MTg5ODY5NjMwNzY2MjMwKAA4ADCoz4SEhjM4qM+EhIYzWgx3MDFzODJybWxwYWVyAiAAeACCARRzdWdnZXN0LnV4Z2NhbnVlMnNhepoBBggAEAAYALABALgBABioz4SEhjMgqM+EhIYzMABCFHN1Z2dlc3QudXhnY2FudWUyc2F6Io4DCgtBQUFCbnBnTHdnMBLYAgoLQUFBQm5wZ0x3ZzASC0FBQUJucGdMd2cwGg0KCXRleHQvaHRtbBIAIg4KCnRleHQvcGxhaW4SACobIhUxMDEwNjQxODk4Njk2MzA3NjYyMzAoADgAMMC9v9SHMziwzL/UhzNKuAEKJGFwcGxpY2F0aW9uL3ZuZC5nb29nbGUtYXBwcy5kb2NzLm1kcxqPAcLX2uQBiAEKhQEKEAoKYXByZXNlbnRhchABGAASbwppYXByZXNlbnRhciBpbmZvcm1hw6fDtWVzIGdlcmFpcyBzb2JyZSBhc3PDqWRpbyBtb3JhbCwgc2V4dWFsIGUgZGlzY3JpbWluYcOnw6NvLCBjb25mb3JtZSBvIGNhc28sIGJlbSBjb21vEAEYARgBWgs3dmdzejg1OXozcXICIAB4AIIBFHN1Z2dlc3QuZnFzd3V6YzJlamUymgEGCAAQABgAsAEAuAEAGMC9v9SHMyCwzL/UhzMwAEIUc3VnZ2VzdC5mcXN3dXpjMmVqZTIikAIKC0FBQUJvaFlmTmtnEtoBCgtBQUFCb2hZZk5rZxILQUFBQm9oWWZOa2caDQoJdGV4dC9odG1sEgAiDgoKdGV4dC9wbGFpbhIAKhsiFTEwMTA2NDE4OTg2OTYzMDc2NjIzMCgAOAAwqaLIh4YzOIysyIeGM0o6CiRhcHBsaWNhdGlvbi92bmQuZ29vZ2xlLWFwcHMuZG9jcy5tZHMaEsLX2uQBDBoKCgYKABATGAAQAVoMaXFhcnhnd3Nub2NkcgIgAHgAggEUc3VnZ2VzdC5udzNjNmcyMTd5cjGaAQYIABAAGACwAQC4AQAYqaLIh4YzIIysyIeGMzAAQhRzdWdnZXN0Lm53M2M2ZzIxN3lyMSLUAQoLQUFBQmxTUFI4WHcSngEKC0FBQUJsU1BSOFh3EgtBQUFCbFNQUjhYdxoNCgl0ZXh0L2h0bWwSACIOCgp0ZXh0L3BsYWluEgAqGyIVMTAxMDY0MTg5ODY5NjMwNzY2MjMwKAA4ADCBsMOMhjM4gbDDjIYzWgwyeWtucnpza2VleXhyAiAAeACCARRzdWdnZXN0LnJkeXg3cmFvazE0OJoBBggAEAAYALABALgBABiBsMOMhjMggbDDjIYzMABCFHN1Z2dlc3QucmR5eDdyYW9rMTQ4IukDCgtBQUFCbFNQUjhXbxKzAwoLQUFBQmxTUFI4V28SC0FBQUJsU1BSOFdvGg0KCXRleHQvaHRtbBIAIg4KCnRleHQvcGxhaW4SACobIhUxMDEwNjQxODk4Njk2MzA3NjYyMzAoADgAMIL5/YuGMziGg/6LhjNKkgIKJGFwcGxpY2F0aW9uL3ZuZC5nb29nbGUtYXBwcy5kb2NzLm1kcxrpAcLX2uQB4gEK3wEKawplZW5jYW1pbmhhciBkaXJldGFtZW50ZSBvIGNhc28gYW8gQ29uc2VsaG8gVHV0ZWxhciwgdXRpbGl6YW5kbyBvIGZvcm11bMOhcmlvIGNvbnN0YW50ZSBubyBBbmV4byBWLCBubyAQARgBEm4KaGVuY2FtaW5oYXIgbyBjYXNvIGFvIENvbnNlbGhvIFR1dGVsYXJzb2xpY2l0YXIgw6AgZ2VzdMOjbyBtw6F4aW1hIGRhIHVuaWRhZGUsIHBvciBtZWlvIGRvIGZvcm11bMOhcmlvIG5vEAEYARgBWgxzYjcxd3p2cGZ2YmZyAiAAeACCARRzdWdnZXN0Lnh5ZHQ4bmoxMXM4NpoBBggAEAAYALABALgBABiC+f2LhjMghoP+i4YzMABCFHN1Z2dlc3QueHlkdDhuajExczg2ItQBCgtBQUFCbFNQUjhYWRKeAQoLQUFBQmxTUFI4WFkSC0FBQUJsU1BSOFhZGg0KCXRleHQvaHRtbBIAIg4KCnRleHQvcGxhaW4SACobIhUxMDEwNjQxODk4Njk2MzA3NjYyMzAoADgAMOLLroyGMzjiy66MhjNaDDJvNnZ6MGEyY3Ftc3ICIAB4AIIBFHN1Z2dlc3Qucmk5d2NhYWQwa3o0mgEGCAAQABgAsAEAuAEAGOLLroyGMyDiy66MhjMwAEIUc3VnZ2VzdC5yaTl3Y2FhZDBrejQ4AGowChRzdWdnZXN0LjdjbHNrd3V2dTF2YxIYUmljYXJkbyBCYXJib3NhIERhIFNpbHZhajAKFHN1Z2dlc3QudTFsc3NlYjgxMTJhEhhSaWNhcmRvIEJhcmJvc2EgRGEgU2lsdmFqMAoUc3VnZ2VzdC5qYTJ1NnNheHc0ZTISGFJpY2FyZG8gQmFyYm9zYSBEYSBTaWx2YWowChRzdWdnZXN0LjIzNm9mcXMwZmh1eRIYUmljYXJkbyBCYXJib3NhIERhIFNpbHZhajAKFHN1Z2dlc3QuYTUwMHppYTIzZWw4EhhSaWNhcmRvIEJhcmJvc2EgRGEgU2lsdmFqMAoUc3VnZ2VzdC45ZGFhaWsybWU1cDESGFJpY2FyZG8gQmFyYm9zYSBEYSBTaWx2YWowChRzdWdnZXN0LnoxdGc1MTV5bGZodhIYUmljYXJkbyBCYXJib3NhIERhIFNpbHZhalEKNXN1Z2dlc3RJZEltcG9ydGQ4ODkyZjM5LTc0NWEtNDA0OS1hYTM2LWMzY2Q0YWI4NGQ2Zl8xEhhSaWNhcmRvIEJhcmJvc2EgRGEgU2lsdmFqMAoUc3VnZ2VzdC5tbG00Y2NvemNrbXcSGFJpY2FyZG8gQmFyYm9zYSBEYSBTaWx2YWowChRzdWdnZXN0LmdpZmZtN3R5cDZ4MxIYUmljYXJkbyBCYXJib3NhIERhIFNpbHZhajAKFHN1Z2dlc3Qub252OXZvcjk0dTZ4EhhSaWNhcmRvIEJhcmJvc2EgRGEgU2lsdmFqMAoUc3VnZ2VzdC41am1hcDNmaHNoYWoSGFJpY2FyZG8gQmFyYm9zYSBEYSBTaWx2YWowChRzdWdnZXN0Lmx5MnZrdXRjcHc1ZxIYUmljYXJkbyBCYXJib3NhIERhIFNpbHZhajAKFHN1Z2dlc3QubmRlbnJpbHJoZnhkEhhSaWNhcmRvIEJhcmJvc2EgRGEgU2lsdmFqMAoUc3VnZ2VzdC52dndnZ3EycHgycmkSGFJpY2FyZG8gQmFyYm9zYSBEYSBTaWx2YWowChRzdWdnZXN0Lm91c2h4azFibnhicxIYUmljYXJkbyBCYXJib3NhIERhIFNpbHZhajAKFHN1Z2dlc3QuZzZ6cHlvdTZydXdzEhhSaWNhcmRvIEJhcmJvc2EgRGEgU2lsdmFqMAoUc3VnZ2VzdC4xdWdsOWtiM3lxNGwSGFJpY2FyZG8gQmFyYm9zYSBEYSBTaWx2YWowChRzdWdnZXN0Lm9qdTAwem40cjlwbxIYUmljYXJkbyBCYXJib3NhIERhIFNpbHZhajAKFHN1Z2dlc3QuZXY4cDBuY3RnMDhnEhhSaWNhcmRvIEJhcmJvc2EgRGEgU2lsdmFqUQo1c3VnZ2VzdElkSW1wb3J0ZDg4OTJmMzktNzQ1YS00MDQ5LWFhMzYtYzNjZDRhYjg0ZDZmXzISGFJpY2FyZG8gQmFyYm9zYSBEYSBTaWx2YWpRCjVzdWdnZXN0SWRJbXBvcnRkODg5MmYzOS03NDVhLTQwNDktYWEzNi1jM2NkNGFiODRkNmZfNRIYUmljYXJkbyBCYXJib3NhIERhIFNpbHZhajAKFHN1Z2dlc3QuOGp0OWpwZ21wNjRrEhhSaWNhcmRvIEJhcmJvc2EgRGEgU2lsdmFqMAoUc3VnZ2VzdC5hdmtkeW9sZ3ZvZnASGFJpY2FyZG8gQmFyYm9zYSBEYSBTaWx2YWowChRzdWdnZXN0Lm5ueGY0bWZibmcyeBIYUmljYXJkbyBCYXJib3NhIERhIFNpbHZhajAKFHN1Z2dlc3Qud2VkbmRndmp5aWw3EhhSaWNhcmRvIEJhcmJvc2EgRGEgU2lsdmFqUQo1c3VnZ2VzdElkSW1wb3J0ZDg4OTJmMzktNzQ1YS00MDQ5LWFhMzYtYzNjZDRhYjg0ZDZmXzMSGFJpY2FyZG8gQmFyYm9zYSBEYSBTaWx2YWowChRzdWdnZXN0LnNsM2d1a2xxeXVzdRIYUmljYXJkbyBCYXJib3NhIERhIFNpbHZhajAKFHN1Z2dlc3QuYTNpMnlpM2owa2tmEhhSaWNhcmRvIEJhcmJvc2EgRGEgU2lsdmFqMAoUc3VnZ2VzdC4xazkxemZvbnl2ZTgSGFJpY2FyZG8gQmFyYm9zYSBEYSBTaWx2YWowChRzdWdnZXN0LmRnMDY5bTkwYTNsNBIYUmljYXJkbyBCYXJib3NhIERhIFNpbHZhajAKFHN1Z2dlc3QuOHd6Z2E2bjY1ZW1pEhhSaWNhcmRvIEJhcmJvc2EgRGEgU2lsdmFqMAoUc3VnZ2VzdC5rdDF3ZWNsaDY2Z3YSGFJpY2FyZG8gQmFyYm9zYSBEYSBTaWx2YWowChRzdWdnZXN0LjU5eDI2eDdxcjRueBIYUmljYXJkbyBCYXJib3NhIERhIFNpbHZhajAKFHN1Z2dlc3Qubm8wdmhxMXkwY3pwEhhSaWNhcmRvIEJhcmJvc2EgRGEgU2lsdmFqMAoUc3VnZ2VzdC54NzNmZzE0c2dxNmkSGFJpY2FyZG8gQmFyYm9zYSBEYSBTaWx2YWowChRzdWdnZXN0LmhibnAzcG5oeGtmZxIYUmljYXJkbyBCYXJib3NhIERhIFNpbHZhajAKFHN1Z2dlc3QuZXFrZHllMXFldGVrEhhSaWNhcmRvIEJhcmJvc2EgRGEgU2lsdmFqMAoUc3VnZ2VzdC42ZWUyZnJwNTl2Y3oSGFJpY2FyZG8gQmFyYm9zYSBEYSBTaWx2YWowChRzdWdnZXN0Lm50OXJ4bXhsZjdqehIYUmljYXJkbyBCYXJib3NhIERhIFNpbHZhajAKFHN1Z2dlc3QuZHhwNGkzeDdnYThnEhhSaWNhcmRvIEJhcmJvc2EgRGEgU2lsdmFqMAoUc3VnZ2VzdC5ubjd3Z3BrNngzcWgSGFJpY2FyZG8gQmFyYm9zYSBEYSBTaWx2YWowChRzdWdnZXN0LmtmMmp2YjkwcDZ2MRIYUmljYXJkbyBCYXJib3NhIERhIFNpbHZhajAKFHN1Z2dlc3Quc242ZTVzZHFpcXF1EhhSaWNhcmRvIEJhcmJvc2EgRGEgU2lsdmFqMAoUc3VnZ2VzdC45dmNzbGt0aHV3YmcSGFJpY2FyZG8gQmFyYm9zYSBEYSBTaWx2YWowChRzdWdnZXN0LjZuc2k3YjhmMjA5NRIYUmljYXJkbyBCYXJib3NhIERhIFNpbHZhajAKFHN1Z2dlc3QudTZiemh3eTJpYTliEhhSaWNhcmRvIEJhcmJvc2EgRGEgU2lsdmFqMAoUc3VnZ2VzdC5uMHBvNXp1enpsNzESGFJpY2FyZG8gQmFyYm9zYSBEYSBTaWx2YWowChRzdWdnZXN0LnZmNXFyMHdvdWp5MxIYUmljYXJkbyBCYXJib3NhIERhIFNpbHZhajAKFHN1Z2dlc3QudXhnY2FudWUyc2F6EhhSaWNhcmRvIEJhcmJvc2EgRGEgU2lsdmFqMAoUc3VnZ2VzdC5mcXN3dXpjMmVqZTISGFJpY2FyZG8gQmFyYm9zYSBEYSBTaWx2YWowChRzdWdnZXN0LnY2amdocjQwbmM5ZBIYUmljYXJkbyBCYXJib3NhIERhIFNpbHZhajAKFHN1Z2dlc3QuZmV4ZzNrNnFmbTIxEhhSaWNhcmRvIEJhcmJvc2EgRGEgU2lsdmFqMAoUc3VnZ2VzdC50a2FwaWFrOXBxYXcSGFJpY2FyZG8gQmFyYm9zYSBEYSBTaWx2YWowChRzdWdnZXN0LnRwYnJpbWl3eWV1bxIYUmljYXJkbyBCYXJib3NhIERhIFNpbHZhajAKFHN1Z2dlc3QuNnh6azZqa2pvOHk3EhhSaWNhcmRvIEJhcmJvc2EgRGEgU2lsdmFqMAoUc3VnZ2VzdC5yMm5zOW4zODhjZW0SGFJpY2FyZG8gQmFyYm9zYSBEYSBTaWx2YWowChRzdWdnZXN0LmpjNnZ1bm40NzhtMhIYUmljYXJkbyBCYXJib3NhIERhIFNpbHZhajAKFHN1Z2dlc3QuOThkcDh4a2JhcTNmEhhSaWNhcmRvIEJhcmJvc2EgRGEgU2lsdmFqMAoUc3VnZ2VzdC5jazlydm15eWNpMWkSGFJpY2FyZG8gQmFyYm9zYSBEYSBTaWx2YWowChRzdWdnZXN0LmFhNDhpdHhpeGZmaxIYUmljYXJkbyBCYXJib3NhIERhIFNpbHZhajAKFHN1Z2dlc3QuY3NieWxiNnoxMHlnEhhSaWNhcmRvIEJhcmJvc2EgRGEgU2lsdmFqMAoUc3VnZ2VzdC51NGFkcnVramFnZzESGFJpY2FyZG8gQmFyYm9zYSBEYSBTaWx2YWowChRzdWdnZXN0Lm53M2M2ZzIxN3lyMRIYUmljYXJkbyBCYXJib3NhIERhIFNpbHZhajAKFHN1Z2dlc3QucWx5bWJ5a256eGtoEhhSaWNhcmRvIEJhcmJvc2EgRGEgU2lsdmFqMAoUc3VnZ2VzdC5sbGRoNzV5eGZ3aHISGFJpY2FyZG8gQmFyYm9zYSBEYSBTaWx2YWowChRzdWdnZXN0LjFuMnJyb2R2bmgyZBIYUmljYXJkbyBCYXJib3NhIERhIFNpbHZhajAKFHN1Z2dlc3QuYms3eTFjbm9qeXAyEhhSaWNhcmRvIEJhcmJvc2EgRGEgU2lsdmFqMAoUc3VnZ2VzdC5yampoNHRtY3NjaXMSGFJpY2FyZG8gQmFyYm9zYSBEYSBTaWx2YWowChRzdWdnZXN0LnJkeXg3cmFvazE0OBIYUmljYXJkbyBCYXJib3NhIERhIFNpbHZhajAKFHN1Z2dlc3QudHZhbmhpOGEwbmdsEhhSaWNhcmRvIEJhcmJvc2EgRGEgU2lsdmFqMAoUc3VnZ2VzdC51anlqMWV4bjBlNDQSGFJpY2FyZG8gQmFyYm9zYSBEYSBTaWx2YWowChRzdWdnZXN0LjR2YnRraWhyd3hlMBIYUmljYXJkbyBCYXJib3NhIERhIFNpbHZhajAKFHN1Z2dlc3Qucm1vczRuaXRjZjBpEhhSaWNhcmRvIEJhcmJvc2EgRGEgU2lsdmFqMAoUc3VnZ2VzdC5jY2w2bmxndzlidTkSGFJpY2FyZG8gQmFyYm9zYSBEYSBTaWx2YWowChRzdWdnZXN0LmJncXFwbDZmd2tiMhIYUmljYXJkbyBCYXJib3NhIERhIFNpbHZhajAKFHN1Z2dlc3QuamRha25yc2RoMWY1EhhSaWNhcmRvIEJhcmJvc2EgRGEgU2lsdmFqMAoUc3VnZ2VzdC5saHE2d2p2dGc5ZmwSGFJpY2FyZG8gQmFyYm9zYSBEYSBTaWx2YWowChRzdWdnZXN0Lnh5ZHQ4bmoxMXM4NhIYUmljYXJkbyBCYXJib3NhIERhIFNpbHZhajAKFHN1Z2dlc3QuazgzcnBveDZ1YzBtEhhSaWNhcmRvIEJhcmJvc2EgRGEgU2lsdmFqMAoUc3VnZ2VzdC5yaTl3Y2FhZDBrejQSGFJpY2FyZG8gQmFyYm9zYSBEYSBTaWx2YWowChRzdWdnZXN0Lm50cGEzaWVpOWM5MBIYUmljYXJkbyBCYXJib3NhIERhIFNpbHZhciExeEptR3ZsOGllUll4d0JoeHlCYVB5UWlraXZ1cVR6c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997</TotalTime>
  <Application>LibreOffice/7.2.6.2$Windows_X86_64 LibreOffice_project/b0ec3a565991f7569a5a7f5d24fed7f52653d754</Application>
  <AppVersion>15.0000</AppVersion>
  <Pages>4</Pages>
  <Words>1192</Words>
  <Characters>5953</Characters>
  <CharactersWithSpaces>7137</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2026-01-30T08:14:18Z</dcterms:modified>
  <cp:revision>116</cp:revision>
  <dc:subject/>
  <dc:title/>
</cp:coreProperties>
</file>

<file path=docProps/custom.xml><?xml version="1.0" encoding="utf-8"?>
<Properties xmlns="http://schemas.openxmlformats.org/officeDocument/2006/custom-properties" xmlns:vt="http://schemas.openxmlformats.org/officeDocument/2006/docPropsVTypes"/>
</file>