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rPr>
      </w:pPr>
      <w:r>
        <w:rPr>
          <w:rFonts w:eastAsia="Calibri" w:cs="Calibri" w:ascii="Calibri" w:hAnsi="Calibri"/>
        </w:rPr>
        <w:t>ANEXO II</w:t>
      </w:r>
    </w:p>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rPr>
      </w:pPr>
      <w:r>
        <w:rPr>
          <w:rFonts w:eastAsia="Calibri" w:cs="Calibri" w:ascii="Calibri" w:hAnsi="Calibri"/>
        </w:rPr>
        <w:t>GLOSSÁRIO</w:t>
      </w:r>
    </w:p>
    <w:p>
      <w:pPr>
        <w:pStyle w:val="Normal11"/>
        <w:jc w:val="center"/>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I. Gestão humanizada: forma de gestão que valoriza as pessoas, reconhece suas potencialidades, respeita suas diferenças, estimula seu desenvolvimento, promove sua saúde e bem-estar, incentiva sua participação, colaboração e corresponsabilidade, e busca alcançar resultados de forma ética, eficiente e efetiva.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II. Autocomposição de conflitos: método de resolução de conflitos a partir da negociação direta entre as partes interessadas que buscam atingir o consentimento entre ambas.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color w:val="FF0000"/>
        </w:rPr>
      </w:pPr>
      <w:r>
        <w:rPr>
          <w:rFonts w:eastAsia="Calibri" w:cs="Calibri" w:ascii="Calibri" w:hAnsi="Calibri"/>
        </w:rPr>
        <w:t xml:space="preserve">III. Letramento em raça e diversidades sexual e de gênero: conjunto de práticas pedagógicas que têm por objetivo conscientizar a pessoa da estrutura e do funcionamento do racismo, do machismo, da misoginia, da LGBTQIAPN+fobia e de outras formas de opressão relacionadas às diversidades sexual e de gênero na sociedade, tornando-a apta a reconhecer, criticar e combater atitudes discriminatórias em seu cotidiano. </w:t>
      </w:r>
    </w:p>
    <w:p>
      <w:pPr>
        <w:pStyle w:val="Normal11"/>
        <w:widowControl w:val="false"/>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IV. Feminismo: conjunto de movimentos políticos, sociais e filosóficos protagonizado por mulheres e que tem como objetivo a eliminação da cultura de dominação masculina sobre as mulheres, bem como a promoção de direitos e oportunidades iguais entre os gêneros.</w:t>
      </w:r>
    </w:p>
    <w:p>
      <w:pPr>
        <w:pStyle w:val="Normal11"/>
        <w:widowControl w:val="false"/>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color w:val="FF0000"/>
        </w:rPr>
      </w:pPr>
      <w:r>
        <w:rPr>
          <w:rFonts w:eastAsia="Calibri" w:cs="Calibri" w:ascii="Calibri" w:hAnsi="Calibri"/>
        </w:rPr>
        <w:t xml:space="preserve">V. Machismo: preconceito que exerce uma função social de dominação, que se baseia na crença da superioridade dos homens sobre as mulheres, com a finalidade de controlar comportamentos e subjugar sua existência. Funda-se em relações sociais estruturais de opressão- -exploração-dominação que organizam a sociedade. </w:t>
      </w:r>
    </w:p>
    <w:p>
      <w:pPr>
        <w:pStyle w:val="Normal11"/>
        <w:widowControl w:val="false"/>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 xml:space="preserve">VI. Identidade de Gênero e Transexualidade: dimensão da identidade de uma pessoa que diz respeito à forma como se relaciona com as representações de masculinidade e feminilidade e como isso se traduz em sua prática social, sem guardar relação necessária com o sexo atribuído no nascimento. Pessoas que se relacionam com as representações diferentes de seu sexo biológico atribuído no nascimento são consideradas pessoas transgênero. Pessoas cujo sexo biológico coincide com a representação de gênero são consideradas pessoas cisgênero. </w:t>
      </w:r>
    </w:p>
    <w:p>
      <w:pPr>
        <w:pStyle w:val="Normal11"/>
        <w:widowControl w:val="false"/>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 xml:space="preserve">VII. Orientação Sexual/Sexualidade: A orientação está ligada ao que a pessoa busca em relacionamentos afetivos e sexuais. Heterossexuais se atraem por pessoas do gênero oposto, homossexuais se atraem por pessoas do mesmo gênero, já aquelas pessoas que se interessam por indivíduos do mesmo ou de qualquer outro gênero são consideradas bissexuais. A assexualidade pode ser definida como a ausência de desejo sexual por qualquer gênero. No entanto, pode acontecer das pessoas assexuais sentirem atração por um dos gêneros (ou ambos) só em situações específicas. </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t xml:space="preserve">VIII. Patriarcado: forma de organização política, econômica, religiosa, social baseada na ideia de autoridade e liderança do homem, no qual se dá o predomínio dos homens sobre as mulheres, do marido sobre as esposas, do pai sobre a mãe, dos velhos sobre os jovens, e da linhagem paterna sobre a materna”. </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IX. Racismo: fenômeno social marcado por dinâmicas de poder pautadas em diferenciações étnico-raciais hierárquicas e excludentes, que promovem desigualdades baseadas na raça, cor, origem nacional ou étnica de uma pessoa ou grupo, e se concretizam em práticas, comportamentos, falas, dinâmicas relacionais, estruturais e institucionais, por meio de ações ou omissões que contribuem para sua manutenção, manifestando-se de forma voluntária ou involuntária.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 Misoginia: expressa comportamentos e ações que geram sofrimento, constrangimentos, violências e imposição de opressão em relação às mulheres. Essa opressão se manifesta de diferentes maneiras, como a exclusão social, a agressão física, a violência doméstica, entre outras formas de machismo.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color w:val="FF0000"/>
        </w:rPr>
      </w:pPr>
      <w:r>
        <w:rPr>
          <w:rFonts w:eastAsia="Calibri" w:cs="Calibri" w:ascii="Calibri" w:hAnsi="Calibri"/>
        </w:rPr>
        <w:t>XI. Etarismo (idadismo): preconceito atribuído à idade, o qual consiste nos estereótipos - modo como pensamos e agimos - e nos modos de sentir em relação a outras pessoas, com base na idade, categorizando-as e criando divisões socialmente injustas. Estereótipos, preconceito e discriminação dirigidos a outras pessoas ou a nós com base na idade.</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XII. LGBTQIAPN+fobia: prática discriminatória que atenta contra os direitos fundamentais das pessoas lésbicas, gays, bissexuais, travestis, transexuais, queers, intersexos, assexuais, não binárias e outras. Dito de outra forma, seria a discriminação e violência sofridas pelas pessoas LGBTQIAPN+ em razão de sua identidade de gênero, orientação sexual ou características sexuais.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XIII. Capacitismo: discriminação originada a partir da condição da deficiência. O capacitismo se baseia em uma estrutura complexa e dinâmica que valoriza determinados padrões de funcionalidade e subestima as capacidades e habilidades das pessoas com deficiência;</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XIV. Interseccionalidade: condição na qual dois ou mais marcadores sociais se sobrepõem, podendo resultar em opressões e discriminações específicas que se explicam por essa sobreposição. A interseccionalidade materializa a interligação de condições no que diz respeito a gênero, raça, etnia, classe social, capacidade física, identidade de gênero, idade, localização geográfica, entre outros marcadores, gerando desvantagens específicas, que se explicam por essa intersecção.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XV. Diversidade: variedade de características, identidades, experiências, saberes, culturas, crenças, valores, opiniões, perspectivas e formas de expressão que compõem as pessoas e os grupos sociais.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XVI. Inclusão: ação de reconhecer, valorizar, respeitar e promover a diversidade, garantindo a participação, a representação, a acessibilidade, a equidade, a justiça e os direitos de todas as pessoas e grupos sociais.</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 xml:space="preserve">XVII. Fator de Risco: toda condição ou situação de trabalho que tem o potencial de comprometer o equilíbrio físico, psicológico e social das pessoas, causar acidente, doença decorrente do trabalho ou profissional. </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XVIII. Gestora - Gestor: aquela ou aquele que exerce atividades com poder de decisão, que lidera equipes e processos de trabalho.</w:t>
      </w:r>
    </w:p>
    <w:p>
      <w:pPr>
        <w:pStyle w:val="Normal11"/>
        <w:keepNext w:val="false"/>
        <w:keepLines w:val="false"/>
        <w:pageBreakBefore w:val="false"/>
        <w:widowControl w:val="false"/>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widowControl w:val="false"/>
        <w:jc w:val="both"/>
        <w:rPr>
          <w:rFonts w:ascii="Calibri" w:hAnsi="Calibri" w:eastAsia="Calibri" w:cs="Calibri"/>
        </w:rPr>
      </w:pPr>
      <w:r>
        <w:rPr>
          <w:rFonts w:eastAsia="Calibri" w:cs="Calibri" w:ascii="Calibri" w:hAnsi="Calibri"/>
        </w:rPr>
        <w:t>XIX. Revitimização: adoção de procedimentos que obriga a vítima a reviver repetidamente a violência que sofreu ou a expõe a novas formas de violência devido a atendimentos inadequados.</w:t>
      </w:r>
    </w:p>
    <w:sectPr>
      <w:headerReference w:type="even" r:id="rId2"/>
      <w:headerReference w:type="default" r:id="rId3"/>
      <w:headerReference w:type="first" r:id="rId4"/>
      <w:type w:val="nextPage"/>
      <w:pgSz w:w="11906" w:h="16838"/>
      <w:pgMar w:left="1134" w:right="1134" w:gutter="0" w:header="1134" w:top="3631"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4">
          <wp:simplePos x="0" y="0"/>
          <wp:positionH relativeFrom="page">
            <wp:posOffset>3491865</wp:posOffset>
          </wp:positionH>
          <wp:positionV relativeFrom="page">
            <wp:posOffset>597535</wp:posOffset>
          </wp:positionV>
          <wp:extent cx="666750" cy="65405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4">
          <wp:simplePos x="0" y="0"/>
          <wp:positionH relativeFrom="page">
            <wp:posOffset>3491865</wp:posOffset>
          </wp:positionH>
          <wp:positionV relativeFrom="page">
            <wp:posOffset>597535</wp:posOffset>
          </wp:positionV>
          <wp:extent cx="666750" cy="654050"/>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Normal11"/>
    <w:next w:val="Normal11"/>
    <w:qFormat/>
    <w:pPr>
      <w:keepNext w:val="true"/>
      <w:keepLines/>
      <w:pageBreakBefore w:val="false"/>
      <w:spacing w:lineRule="auto" w:line="240" w:before="480" w:after="120"/>
    </w:pPr>
    <w:rPr>
      <w:b/>
      <w:sz w:val="48"/>
      <w:szCs w:val="48"/>
    </w:rPr>
  </w:style>
  <w:style w:type="paragraph" w:styleId="Ttulo2">
    <w:name w:val="Heading 2"/>
    <w:basedOn w:val="Normal11"/>
    <w:next w:val="Normal11"/>
    <w:qFormat/>
    <w:pPr>
      <w:keepNext w:val="true"/>
      <w:keepLines/>
      <w:pageBreakBefore w:val="false"/>
      <w:spacing w:lineRule="auto" w:line="240" w:before="360" w:after="80"/>
    </w:pPr>
    <w:rPr>
      <w:b/>
      <w:sz w:val="36"/>
      <w:szCs w:val="36"/>
    </w:rPr>
  </w:style>
  <w:style w:type="paragraph" w:styleId="Ttulo3">
    <w:name w:val="Heading 3"/>
    <w:basedOn w:val="Normal11"/>
    <w:next w:val="Normal11"/>
    <w:qFormat/>
    <w:pPr>
      <w:keepNext w:val="true"/>
      <w:keepLines/>
      <w:pageBreakBefore w:val="false"/>
      <w:spacing w:lineRule="auto" w:line="240" w:before="280" w:after="80"/>
    </w:pPr>
    <w:rPr>
      <w:b/>
      <w:sz w:val="28"/>
      <w:szCs w:val="28"/>
    </w:rPr>
  </w:style>
  <w:style w:type="paragraph" w:styleId="Ttulo4">
    <w:name w:val="Heading 4"/>
    <w:basedOn w:val="Normal11"/>
    <w:next w:val="Normal11"/>
    <w:qFormat/>
    <w:pPr>
      <w:keepNext w:val="true"/>
      <w:keepLines/>
      <w:pageBreakBefore w:val="false"/>
      <w:spacing w:lineRule="auto" w:line="240" w:before="240" w:after="40"/>
    </w:pPr>
    <w:rPr>
      <w:b/>
      <w:sz w:val="24"/>
      <w:szCs w:val="24"/>
    </w:rPr>
  </w:style>
  <w:style w:type="paragraph" w:styleId="Ttulo5">
    <w:name w:val="Heading 5"/>
    <w:basedOn w:val="Normal11"/>
    <w:next w:val="Normal11"/>
    <w:qFormat/>
    <w:pPr>
      <w:keepNext w:val="true"/>
      <w:keepLines/>
      <w:pageBreakBefore w:val="false"/>
      <w:spacing w:lineRule="auto" w:line="240" w:before="220" w:after="40"/>
    </w:pPr>
    <w:rPr>
      <w:b/>
      <w:sz w:val="22"/>
      <w:szCs w:val="22"/>
    </w:rPr>
  </w:style>
  <w:style w:type="paragraph" w:styleId="Ttulo6">
    <w:name w:val="Heading 6"/>
    <w:basedOn w:val="Normal11"/>
    <w:next w:val="Normal11"/>
    <w:qFormat/>
    <w:pPr>
      <w:keepNext w:val="true"/>
      <w:keepLines/>
      <w:pageBreakBefore w:val="false"/>
      <w:spacing w:lineRule="auto" w:line="240" w:before="200" w:after="40"/>
    </w:pPr>
    <w:rPr>
      <w:b/>
      <w:sz w:val="20"/>
      <w:szCs w:val="20"/>
    </w:rPr>
  </w:style>
  <w:style w:type="character" w:styleId="LinkdaInternet">
    <w:name w:val="Link da Internet"/>
    <w:qFormat/>
    <w:rPr>
      <w:color w:val="000080"/>
      <w:u w:val="single"/>
    </w:rPr>
  </w:style>
  <w:style w:type="character" w:styleId="LineNumbering">
    <w:name w:val="Line Numbering"/>
    <w:qFormat/>
    <w:rPr/>
  </w:style>
  <w:style w:type="character" w:styleId="Strong">
    <w:name w:val="Strong"/>
    <w:qFormat/>
    <w:rPr>
      <w:b/>
      <w:b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paragraph" w:styleId="Ttulo">
    <w:name w:val="Título"/>
    <w:basedOn w:val="Normal1"/>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Lucida Sans"/>
    </w:rPr>
  </w:style>
  <w:style w:type="paragraph" w:styleId="Legenda">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Normal11"/>
    <w:next w:val="Normal11"/>
    <w:qFormat/>
    <w:pPr>
      <w:keepNext w:val="true"/>
      <w:keepLines/>
      <w:pageBreakBefore w:val="false"/>
      <w:spacing w:lineRule="auto" w:line="240" w:before="480" w:after="120"/>
    </w:pPr>
    <w:rPr>
      <w:b/>
      <w:sz w:val="72"/>
      <w:szCs w:val="72"/>
    </w:rPr>
  </w:style>
  <w:style w:type="paragraph" w:styleId="Normal11" w:default="1">
    <w:name w:val="normal1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atabela">
    <w:name w:val="Conteúdo da tabela"/>
    <w:basedOn w:val="Normal1"/>
    <w:qFormat/>
    <w:pPr>
      <w:widowControl w:val="false"/>
      <w:suppressLineNumbers/>
    </w:pPr>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
    <w:basedOn w:val="Normal"/>
    <w:qFormat/>
    <w:pPr/>
    <w:rPr/>
  </w:style>
  <w:style w:type="paragraph" w:styleId="Cabealho">
    <w:name w:val="Header"/>
    <w:basedOn w:val="Cabealhoerodap"/>
    <w:pPr>
      <w:suppressLineNumbers/>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f5igM2rCI4vn3vROSVvsDKjjTQ==">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EhIYzWgx3MDFzODJybWxwYWVyAiAAeACCARRzdWdnZXN0LnV4Z2NhbnVlMnNhepoBBggAEAAYALABALgBABioz4SEhjMgqM+EhIYzMABCFHN1Z2dlc3QudXhnY2FudWUyc2F6Io4DCgtBQUFCbnBnTHdnMBLYAgoLQUFBQm5wZ0x3ZzASC0FBQUJucGdMd2cwGg0KCXRleHQvaHRtbBIAIg4KCnRleHQvcGxhaW4SACobIhUxMDEwNjQxODk4Njk2MzA3NjYyMzAoADgAMMC9v9SHMziwzL/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YuGMziGg/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f2LhjMghoP+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998</TotalTime>
  <Application>LibreOffice/7.2.6.2$Windows_X86_64 LibreOffice_project/b0ec3a565991f7569a5a7f5d24fed7f52653d754</Application>
  <AppVersion>15.0000</AppVersion>
  <Pages>3</Pages>
  <Words>907</Words>
  <Characters>5460</Characters>
  <CharactersWithSpaces>6344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2026-01-30T08:15:15Z</dcterms:modified>
  <cp:revision>117</cp:revision>
  <dc:subject/>
  <dc:title/>
</cp:coreProperties>
</file>

<file path=docProps/custom.xml><?xml version="1.0" encoding="utf-8"?>
<Properties xmlns="http://schemas.openxmlformats.org/officeDocument/2006/custom-properties" xmlns:vt="http://schemas.openxmlformats.org/officeDocument/2006/docPropsVTypes"/>
</file>